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67" w:rsidRDefault="00FD1367">
      <w:pPr>
        <w:rPr>
          <w:rFonts w:cs="Times New Roman"/>
          <w:b/>
          <w:bCs/>
          <w:sz w:val="44"/>
          <w:szCs w:val="44"/>
        </w:rPr>
      </w:pPr>
    </w:p>
    <w:p w:rsidR="00FD1367" w:rsidRPr="00A45576" w:rsidRDefault="00825746" w:rsidP="00A45576">
      <w:pPr>
        <w:spacing w:beforeLines="1000" w:before="3120"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52"/>
          <w:szCs w:val="52"/>
        </w:rPr>
        <w:t>兵团公共资源交易</w:t>
      </w:r>
      <w:r w:rsidR="006E458F">
        <w:rPr>
          <w:rFonts w:eastAsia="黑体" w:hint="eastAsia"/>
          <w:bCs/>
          <w:sz w:val="52"/>
          <w:szCs w:val="52"/>
        </w:rPr>
        <w:t>平台场地及设施服务费</w:t>
      </w:r>
      <w:r>
        <w:rPr>
          <w:rFonts w:eastAsia="黑体" w:hint="eastAsia"/>
          <w:bCs/>
          <w:sz w:val="52"/>
          <w:szCs w:val="52"/>
        </w:rPr>
        <w:t>操作手册</w:t>
      </w:r>
      <w:r w:rsidR="000654F9">
        <w:rPr>
          <w:rFonts w:eastAsia="黑体" w:hint="eastAsia"/>
          <w:bCs/>
          <w:sz w:val="52"/>
          <w:szCs w:val="52"/>
        </w:rPr>
        <w:t>（投标单位）</w:t>
      </w:r>
    </w:p>
    <w:p w:rsidR="00FD1367" w:rsidRDefault="00FD1367" w:rsidP="00A45576">
      <w:pPr>
        <w:jc w:val="center"/>
        <w:rPr>
          <w:sz w:val="28"/>
          <w:szCs w:val="28"/>
        </w:rPr>
      </w:pPr>
    </w:p>
    <w:p w:rsidR="00FD1367" w:rsidRDefault="00FD1367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FD1367" w:rsidRDefault="00825746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新疆生产建设兵团公共资源交易中心</w:t>
      </w:r>
    </w:p>
    <w:p w:rsidR="00FD1367" w:rsidRDefault="00527A0D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2023</w:t>
      </w:r>
      <w:r w:rsidR="00825746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01</w:t>
      </w:r>
      <w:r w:rsidR="00825746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03</w:t>
      </w:r>
      <w:r w:rsidR="00825746">
        <w:rPr>
          <w:rFonts w:ascii="宋体" w:eastAsia="宋体" w:hAnsi="宋体" w:hint="eastAsia"/>
          <w:sz w:val="28"/>
          <w:szCs w:val="28"/>
        </w:rPr>
        <w:t>日</w:t>
      </w:r>
      <w:bookmarkStart w:id="0" w:name="_GoBack"/>
      <w:bookmarkEnd w:id="0"/>
    </w:p>
    <w:p w:rsidR="00FD1367" w:rsidRDefault="00FD1367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:rsidR="00A45576" w:rsidRDefault="00A4557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1367" w:rsidRDefault="00FD1367">
      <w:pPr>
        <w:rPr>
          <w:sz w:val="28"/>
          <w:szCs w:val="28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sdt>
      <w:sdtPr>
        <w:rPr>
          <w:rFonts w:ascii="宋体" w:eastAsia="宋体" w:hAnsi="宋体"/>
          <w:b/>
          <w:bCs/>
          <w:sz w:val="32"/>
          <w:szCs w:val="32"/>
        </w:rPr>
        <w:id w:val="147458162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FD1367" w:rsidRDefault="00825746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eastAsia="宋体" w:hAnsi="宋体"/>
              <w:b/>
              <w:bCs/>
              <w:sz w:val="32"/>
              <w:szCs w:val="32"/>
            </w:rPr>
            <w:t>目录</w:t>
          </w:r>
        </w:p>
        <w:p w:rsidR="00B87786" w:rsidRPr="00B87786" w:rsidRDefault="00825746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r w:rsidRPr="00B87786"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begin"/>
          </w:r>
          <w:r w:rsidRPr="00B87786">
            <w:rPr>
              <w:rFonts w:asciiTheme="minorEastAsia" w:hAnsiTheme="minorEastAsia" w:cstheme="minorEastAsia" w:hint="eastAsia"/>
              <w:sz w:val="28"/>
              <w:szCs w:val="28"/>
            </w:rPr>
            <w:instrText xml:space="preserve">TOC \o "1-1" \h \u </w:instrText>
          </w:r>
          <w:r w:rsidRPr="00B87786"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separate"/>
          </w:r>
          <w:hyperlink w:anchor="_Toc101192567" w:history="1">
            <w:r w:rsidR="00B87786" w:rsidRPr="00B87786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1 </w:t>
            </w:r>
            <w:r w:rsidR="00B87786" w:rsidRPr="00B87786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详细操作流程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_Toc101192567 \h </w:instrTex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0E4C7A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B87786" w:rsidRPr="00B87786" w:rsidRDefault="00545E08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hyperlink w:anchor="_Toc101192568" w:history="1">
            <w:r w:rsidR="00B87786" w:rsidRPr="00B87786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2 </w:t>
            </w:r>
            <w:r w:rsidR="00B87786" w:rsidRPr="00B87786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投标人场地设施服务费缴纳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_Toc101192568 \h </w:instrTex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0E4C7A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FD1367" w:rsidRPr="00B87786" w:rsidRDefault="00825746">
          <w:pPr>
            <w:rPr>
              <w:rFonts w:asciiTheme="minorEastAsia" w:hAnsiTheme="minorEastAsia"/>
              <w:sz w:val="28"/>
              <w:szCs w:val="28"/>
            </w:rPr>
          </w:pPr>
          <w:r w:rsidRPr="00B87786">
            <w:rPr>
              <w:rFonts w:asciiTheme="minorEastAsia" w:hAnsiTheme="minorEastAsia" w:cstheme="minorEastAsia" w:hint="eastAsia"/>
              <w:sz w:val="28"/>
              <w:szCs w:val="28"/>
            </w:rPr>
            <w:fldChar w:fldCharType="end"/>
          </w:r>
        </w:p>
      </w:sdtContent>
    </w:sdt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5309C3" w:rsidRDefault="005309C3">
      <w:pPr>
        <w:widowControl/>
        <w:jc w:val="left"/>
      </w:pPr>
      <w:r>
        <w:br w:type="page"/>
      </w:r>
    </w:p>
    <w:p w:rsidR="00FD1367" w:rsidRDefault="00FD1367"/>
    <w:p w:rsidR="00FD1367" w:rsidRDefault="00825746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1" w:name="_Toc101192567"/>
      <w:r>
        <w:rPr>
          <w:rFonts w:asciiTheme="minorHAnsi" w:hAnsiTheme="minorHAnsi" w:cstheme="minorBidi" w:hint="eastAsia"/>
          <w:bCs w:val="0"/>
          <w:sz w:val="32"/>
          <w:szCs w:val="24"/>
        </w:rPr>
        <w:t xml:space="preserve">1 </w:t>
      </w:r>
      <w:r w:rsidR="00F11701">
        <w:rPr>
          <w:rFonts w:asciiTheme="minorHAnsi" w:hAnsiTheme="minorHAnsi" w:cstheme="minorBidi" w:hint="eastAsia"/>
          <w:bCs w:val="0"/>
          <w:sz w:val="32"/>
          <w:szCs w:val="24"/>
        </w:rPr>
        <w:t>详细操作流程</w:t>
      </w:r>
      <w:bookmarkEnd w:id="1"/>
    </w:p>
    <w:p w:rsidR="00F11701" w:rsidRPr="00DA5EC9" w:rsidRDefault="00F11701" w:rsidP="00F11701">
      <w:pPr>
        <w:rPr>
          <w:rFonts w:ascii="宋体" w:eastAsia="宋体" w:hAnsi="宋体" w:cs="宋体"/>
          <w:sz w:val="26"/>
          <w:szCs w:val="26"/>
        </w:rPr>
      </w:pPr>
      <w:r w:rsidRPr="00DA5EC9">
        <w:rPr>
          <w:rFonts w:ascii="宋体" w:eastAsia="宋体" w:hAnsi="宋体" w:cs="宋体" w:hint="eastAsia"/>
          <w:sz w:val="26"/>
          <w:szCs w:val="26"/>
        </w:rPr>
        <w:t>开标（</w:t>
      </w:r>
      <w:r w:rsidR="00735652" w:rsidRPr="00DA5EC9">
        <w:rPr>
          <w:rFonts w:ascii="宋体" w:eastAsia="宋体" w:hAnsi="宋体" w:cs="宋体" w:hint="eastAsia"/>
          <w:sz w:val="26"/>
          <w:szCs w:val="26"/>
        </w:rPr>
        <w:t>投标人解密、招标人解密、批量导入</w:t>
      </w:r>
      <w:r w:rsidRPr="00DA5EC9">
        <w:rPr>
          <w:rFonts w:ascii="宋体" w:eastAsia="宋体" w:hAnsi="宋体" w:cs="宋体" w:hint="eastAsia"/>
          <w:sz w:val="26"/>
          <w:szCs w:val="26"/>
        </w:rPr>
        <w:t>）→</w:t>
      </w:r>
      <w:r w:rsidR="000B70A3" w:rsidRPr="00DA5EC9">
        <w:rPr>
          <w:rFonts w:ascii="宋体" w:eastAsia="宋体" w:hAnsi="宋体" w:cs="宋体" w:hint="eastAsia"/>
          <w:sz w:val="26"/>
          <w:szCs w:val="26"/>
        </w:rPr>
        <w:t>投标单位场地及设施服务费缴纳</w:t>
      </w:r>
      <w:r w:rsidRPr="00DA5EC9">
        <w:rPr>
          <w:rFonts w:ascii="宋体" w:eastAsia="宋体" w:hAnsi="宋体" w:cs="宋体" w:hint="eastAsia"/>
          <w:sz w:val="26"/>
          <w:szCs w:val="26"/>
        </w:rPr>
        <w:t>→开标（</w:t>
      </w:r>
      <w:r w:rsidR="00735652" w:rsidRPr="00DA5EC9">
        <w:rPr>
          <w:rFonts w:ascii="宋体" w:eastAsia="宋体" w:hAnsi="宋体" w:cs="宋体" w:hint="eastAsia"/>
          <w:sz w:val="26"/>
          <w:szCs w:val="26"/>
        </w:rPr>
        <w:t>唱标</w:t>
      </w:r>
      <w:r w:rsidRPr="00DA5EC9">
        <w:rPr>
          <w:rFonts w:ascii="宋体" w:eastAsia="宋体" w:hAnsi="宋体" w:cs="宋体" w:hint="eastAsia"/>
          <w:sz w:val="26"/>
          <w:szCs w:val="26"/>
        </w:rPr>
        <w:t>）</w:t>
      </w:r>
    </w:p>
    <w:p w:rsidR="00FD1367" w:rsidRDefault="00EF59B1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2" w:name="_Toc101192568"/>
      <w:r>
        <w:rPr>
          <w:rFonts w:asciiTheme="minorHAnsi" w:hAnsiTheme="minorHAnsi" w:cstheme="minorBidi" w:hint="eastAsia"/>
          <w:bCs w:val="0"/>
          <w:sz w:val="32"/>
          <w:szCs w:val="24"/>
        </w:rPr>
        <w:t>2</w:t>
      </w:r>
      <w:r w:rsidR="00467184">
        <w:rPr>
          <w:rFonts w:asciiTheme="minorHAnsi" w:hAnsiTheme="minorHAnsi" w:cstheme="minorBidi" w:hint="eastAsia"/>
          <w:bCs w:val="0"/>
          <w:sz w:val="32"/>
          <w:szCs w:val="24"/>
        </w:rPr>
        <w:t xml:space="preserve"> </w:t>
      </w:r>
      <w:r w:rsidR="005916FF" w:rsidRPr="005916FF">
        <w:rPr>
          <w:rFonts w:asciiTheme="minorHAnsi" w:hAnsiTheme="minorHAnsi" w:cstheme="minorBidi" w:hint="eastAsia"/>
          <w:bCs w:val="0"/>
          <w:sz w:val="32"/>
          <w:szCs w:val="24"/>
        </w:rPr>
        <w:t>投标人场地</w:t>
      </w:r>
      <w:r w:rsidR="005916FF">
        <w:rPr>
          <w:rFonts w:asciiTheme="minorHAnsi" w:hAnsiTheme="minorHAnsi" w:cstheme="minorBidi" w:hint="eastAsia"/>
          <w:bCs w:val="0"/>
          <w:sz w:val="32"/>
          <w:szCs w:val="24"/>
        </w:rPr>
        <w:t>设施</w:t>
      </w:r>
      <w:r w:rsidR="005916FF" w:rsidRPr="005916FF">
        <w:rPr>
          <w:rFonts w:asciiTheme="minorHAnsi" w:hAnsiTheme="minorHAnsi" w:cstheme="minorBidi" w:hint="eastAsia"/>
          <w:bCs w:val="0"/>
          <w:sz w:val="32"/>
          <w:szCs w:val="24"/>
        </w:rPr>
        <w:t>费缴纳</w:t>
      </w:r>
      <w:bookmarkEnd w:id="2"/>
    </w:p>
    <w:p w:rsidR="00DA5EC9" w:rsidRPr="00DA5EC9" w:rsidRDefault="00DA5EC9" w:rsidP="00DA5EC9">
      <w:r>
        <w:rPr>
          <w:rFonts w:hint="eastAsia"/>
        </w:rPr>
        <w:t xml:space="preserve">  </w:t>
      </w:r>
      <w:r w:rsidRPr="00DA5EC9">
        <w:rPr>
          <w:rFonts w:ascii="宋体" w:eastAsia="宋体" w:hAnsi="宋体" w:cs="宋体" w:hint="eastAsia"/>
          <w:sz w:val="26"/>
          <w:szCs w:val="26"/>
        </w:rPr>
        <w:t xml:space="preserve">  </w:t>
      </w:r>
      <w:r w:rsidRPr="00693AF8">
        <w:rPr>
          <w:rFonts w:ascii="宋体" w:eastAsia="宋体" w:hAnsi="宋体" w:cs="宋体" w:hint="eastAsia"/>
          <w:color w:val="FF0000"/>
          <w:sz w:val="26"/>
          <w:szCs w:val="26"/>
        </w:rPr>
        <w:t xml:space="preserve"> 投标单位</w:t>
      </w:r>
      <w:r w:rsidR="00693AF8" w:rsidRPr="00693AF8">
        <w:rPr>
          <w:rFonts w:ascii="宋体" w:eastAsia="宋体" w:hAnsi="宋体" w:cs="宋体" w:hint="eastAsia"/>
          <w:color w:val="FF0000"/>
          <w:sz w:val="26"/>
          <w:szCs w:val="26"/>
        </w:rPr>
        <w:t>应</w:t>
      </w:r>
      <w:r w:rsidRPr="00693AF8">
        <w:rPr>
          <w:rFonts w:ascii="宋体" w:eastAsia="宋体" w:hAnsi="宋体" w:cs="宋体" w:hint="eastAsia"/>
          <w:color w:val="FF0000"/>
          <w:sz w:val="26"/>
          <w:szCs w:val="26"/>
        </w:rPr>
        <w:t>在代理规定的场地费缴纳时间内，完成场地费支付，</w:t>
      </w:r>
      <w:r w:rsidR="00DB1B38" w:rsidRPr="00DB1B38">
        <w:rPr>
          <w:rFonts w:ascii="宋体" w:eastAsia="宋体" w:hAnsi="宋体" w:cs="宋体" w:hint="eastAsia"/>
          <w:color w:val="FF0000"/>
          <w:sz w:val="26"/>
          <w:szCs w:val="26"/>
        </w:rPr>
        <w:t>若投标人未</w:t>
      </w:r>
      <w:r w:rsidR="00DB1B38">
        <w:rPr>
          <w:rFonts w:ascii="宋体" w:eastAsia="宋体" w:hAnsi="宋体" w:cs="宋体" w:hint="eastAsia"/>
          <w:color w:val="FF0000"/>
          <w:sz w:val="26"/>
          <w:szCs w:val="26"/>
        </w:rPr>
        <w:t>在规定时间内进行缴纳，将视为放弃开标资格，退回已解密的投标文件，</w:t>
      </w:r>
      <w:r w:rsidRPr="00693AF8">
        <w:rPr>
          <w:rFonts w:ascii="宋体" w:eastAsia="宋体" w:hAnsi="宋体" w:cs="宋体" w:hint="eastAsia"/>
          <w:color w:val="FF0000"/>
          <w:sz w:val="26"/>
          <w:szCs w:val="26"/>
        </w:rPr>
        <w:t>无法参与后续的开评标环节。若</w:t>
      </w:r>
      <w:r w:rsidR="00DB1B38">
        <w:rPr>
          <w:rFonts w:ascii="宋体" w:eastAsia="宋体" w:hAnsi="宋体" w:cs="宋体" w:hint="eastAsia"/>
          <w:color w:val="FF0000"/>
          <w:sz w:val="26"/>
          <w:szCs w:val="26"/>
        </w:rPr>
        <w:t>场地费</w:t>
      </w:r>
      <w:r w:rsidRPr="00693AF8">
        <w:rPr>
          <w:rFonts w:ascii="宋体" w:eastAsia="宋体" w:hAnsi="宋体" w:cs="宋体" w:hint="eastAsia"/>
          <w:color w:val="FF0000"/>
          <w:sz w:val="26"/>
          <w:szCs w:val="26"/>
        </w:rPr>
        <w:t>缴纳时间不足，需提前联系代理，进行场地费缴纳时间延长。若为线下对公账号支付，也需提前联系代理，告知情况，并让代理设置成线下支付。</w:t>
      </w:r>
    </w:p>
    <w:p w:rsidR="000E1279" w:rsidRPr="000E1279" w:rsidRDefault="000E1279" w:rsidP="00ED3A00">
      <w:pPr>
        <w:ind w:firstLineChars="200" w:firstLine="520"/>
        <w:rPr>
          <w:rFonts w:eastAsia="宋体"/>
          <w:sz w:val="28"/>
          <w:szCs w:val="24"/>
        </w:rPr>
      </w:pPr>
      <w:r w:rsidRPr="00ED3A00">
        <w:rPr>
          <w:rFonts w:ascii="宋体" w:eastAsia="宋体" w:hAnsi="宋体" w:cs="宋体" w:hint="eastAsia"/>
          <w:sz w:val="26"/>
          <w:szCs w:val="26"/>
        </w:rPr>
        <w:t>招标代理设置完投标单位缴纳费用后，投标人登录</w:t>
      </w:r>
      <w:r w:rsidR="00ED3A00" w:rsidRPr="00ED3A00">
        <w:rPr>
          <w:rFonts w:ascii="宋体" w:eastAsia="宋体" w:hAnsi="宋体" w:cs="宋体" w:hint="eastAsia"/>
          <w:sz w:val="26"/>
          <w:szCs w:val="26"/>
        </w:rPr>
        <w:t>公共资源交易平台</w:t>
      </w:r>
      <w:r w:rsidRPr="00ED3A00">
        <w:rPr>
          <w:rFonts w:ascii="宋体" w:eastAsia="宋体" w:hAnsi="宋体" w:cs="宋体" w:hint="eastAsia"/>
          <w:sz w:val="26"/>
          <w:szCs w:val="26"/>
        </w:rPr>
        <w:t>，</w:t>
      </w:r>
      <w:r w:rsidR="00ED3A00" w:rsidRPr="002C0597">
        <w:rPr>
          <w:rFonts w:ascii="宋体" w:eastAsia="宋体" w:hAnsi="宋体" w:cs="宋体" w:hint="eastAsia"/>
          <w:sz w:val="26"/>
          <w:szCs w:val="26"/>
        </w:rPr>
        <w:t>选择</w:t>
      </w:r>
      <w:r w:rsidR="00694D83">
        <w:rPr>
          <w:rFonts w:ascii="宋体" w:eastAsia="宋体" w:hAnsi="宋体" w:cs="宋体" w:hint="eastAsia"/>
          <w:sz w:val="26"/>
          <w:szCs w:val="26"/>
        </w:rPr>
        <w:t>相应师市、</w:t>
      </w:r>
      <w:r w:rsidR="00ED3A00" w:rsidRPr="002C0597">
        <w:rPr>
          <w:rFonts w:ascii="宋体" w:eastAsia="宋体" w:hAnsi="宋体" w:cs="宋体" w:hint="eastAsia"/>
          <w:sz w:val="26"/>
          <w:szCs w:val="26"/>
        </w:rPr>
        <w:t>上传文件时相应身份，进入“投标人场地</w:t>
      </w:r>
      <w:r w:rsidR="00ED3A00">
        <w:rPr>
          <w:rFonts w:ascii="宋体" w:eastAsia="宋体" w:hAnsi="宋体" w:cs="宋体" w:hint="eastAsia"/>
          <w:sz w:val="26"/>
          <w:szCs w:val="26"/>
        </w:rPr>
        <w:t>设施费缴纳菜单”，选择相应标段，进行线上场地</w:t>
      </w:r>
      <w:proofErr w:type="gramStart"/>
      <w:r w:rsidR="00ED3A00">
        <w:rPr>
          <w:rFonts w:ascii="宋体" w:eastAsia="宋体" w:hAnsi="宋体" w:cs="宋体" w:hint="eastAsia"/>
          <w:sz w:val="26"/>
          <w:szCs w:val="26"/>
        </w:rPr>
        <w:t>费扫码</w:t>
      </w:r>
      <w:proofErr w:type="gramEnd"/>
      <w:r w:rsidR="00ED3A00">
        <w:rPr>
          <w:rFonts w:ascii="宋体" w:eastAsia="宋体" w:hAnsi="宋体" w:cs="宋体" w:hint="eastAsia"/>
          <w:sz w:val="26"/>
          <w:szCs w:val="26"/>
        </w:rPr>
        <w:t>支付</w:t>
      </w:r>
      <w:r w:rsidRPr="000E1279">
        <w:rPr>
          <w:rFonts w:eastAsia="宋体" w:hint="eastAsia"/>
          <w:sz w:val="28"/>
          <w:szCs w:val="24"/>
        </w:rPr>
        <w:t>。</w:t>
      </w:r>
    </w:p>
    <w:p w:rsidR="000E1279" w:rsidRPr="000E1279" w:rsidRDefault="00211176" w:rsidP="00211176">
      <w:pPr>
        <w:ind w:firstLineChars="200" w:firstLine="420"/>
        <w:jc w:val="center"/>
        <w:rPr>
          <w:rFonts w:eastAsia="宋体"/>
          <w:sz w:val="28"/>
          <w:szCs w:val="24"/>
        </w:rPr>
      </w:pPr>
      <w:r>
        <w:rPr>
          <w:noProof/>
        </w:rPr>
        <w:drawing>
          <wp:inline distT="0" distB="0" distL="0" distR="0" wp14:anchorId="3CA4AD6E" wp14:editId="3AC5DF0C">
            <wp:extent cx="5274310" cy="20999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选到需缴纳标段，点击操作按钮，将进入详情页面。</w:t>
      </w:r>
    </w:p>
    <w:p w:rsidR="000E1279" w:rsidRPr="000E1279" w:rsidRDefault="00D11E48" w:rsidP="00D11E48">
      <w:pPr>
        <w:ind w:firstLineChars="200" w:firstLine="420"/>
        <w:rPr>
          <w:rFonts w:eastAsia="宋体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584DD3EF" wp14:editId="785BBED4">
            <wp:extent cx="5274310" cy="21787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核对信息是否有误并填写缴费人相关信息，无误后点击“保存”按钮，之后点击“支付</w:t>
      </w:r>
      <w:r w:rsidRPr="000E1279">
        <w:rPr>
          <w:rFonts w:eastAsia="宋体"/>
          <w:sz w:val="28"/>
          <w:szCs w:val="24"/>
        </w:rPr>
        <w:t>”</w:t>
      </w:r>
      <w:r w:rsidRPr="000E1279">
        <w:rPr>
          <w:rFonts w:eastAsia="宋体" w:hint="eastAsia"/>
          <w:sz w:val="28"/>
          <w:szCs w:val="24"/>
        </w:rPr>
        <w:t>将出现该标段支付二维码页面，可通过微信、支付宝、农行</w:t>
      </w:r>
      <w:r w:rsidRPr="000E1279">
        <w:rPr>
          <w:rFonts w:eastAsia="宋体" w:hint="eastAsia"/>
          <w:sz w:val="28"/>
          <w:szCs w:val="24"/>
        </w:rPr>
        <w:t>app</w:t>
      </w:r>
      <w:r w:rsidRPr="000E1279">
        <w:rPr>
          <w:rFonts w:eastAsia="宋体" w:hint="eastAsia"/>
          <w:sz w:val="28"/>
          <w:szCs w:val="24"/>
        </w:rPr>
        <w:t>扫码完成支付。</w:t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drawing>
          <wp:inline distT="0" distB="0" distL="0" distR="0" wp14:anchorId="0B752D29" wp14:editId="29523006">
            <wp:extent cx="5274310" cy="255901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drawing>
          <wp:inline distT="0" distB="0" distL="0" distR="0" wp14:anchorId="51091D83" wp14:editId="65BE016E">
            <wp:extent cx="5274310" cy="2716514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proofErr w:type="gramStart"/>
      <w:r w:rsidRPr="000E1279">
        <w:rPr>
          <w:rFonts w:eastAsia="宋体" w:hint="eastAsia"/>
          <w:sz w:val="28"/>
          <w:szCs w:val="24"/>
        </w:rPr>
        <w:lastRenderedPageBreak/>
        <w:t>扫码完成</w:t>
      </w:r>
      <w:proofErr w:type="gramEnd"/>
      <w:r w:rsidRPr="000E1279">
        <w:rPr>
          <w:rFonts w:eastAsia="宋体" w:hint="eastAsia"/>
          <w:sz w:val="28"/>
          <w:szCs w:val="24"/>
        </w:rPr>
        <w:t>之后，退出该页面，点击“查询支付情况”按钮，查询支付情况。</w:t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drawing>
          <wp:inline distT="0" distB="0" distL="0" distR="0" wp14:anchorId="4549C6CE" wp14:editId="3A5CB19D">
            <wp:extent cx="5274310" cy="2350242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jc w:val="left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进入支付信息查看页面后，核对信息是否有误，无误后点击“成交查询”按钮，完成“成交查询”按钮，之后退出该页面。</w:t>
      </w:r>
    </w:p>
    <w:p w:rsidR="00704C01" w:rsidRPr="00704C01" w:rsidRDefault="00704C01" w:rsidP="00704C01">
      <w:pPr>
        <w:jc w:val="left"/>
      </w:pPr>
      <w:r w:rsidRPr="00704C01">
        <w:rPr>
          <w:noProof/>
        </w:rPr>
        <w:drawing>
          <wp:inline distT="0" distB="0" distL="0" distR="0" wp14:anchorId="5CED9658" wp14:editId="21AD8B2F">
            <wp:extent cx="5274310" cy="223364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01" w:rsidRPr="00704C01" w:rsidRDefault="00704C01" w:rsidP="00704C01">
      <w:pPr>
        <w:ind w:firstLineChars="200" w:firstLine="560"/>
        <w:rPr>
          <w:rFonts w:eastAsia="宋体"/>
          <w:sz w:val="28"/>
          <w:szCs w:val="24"/>
        </w:rPr>
      </w:pPr>
      <w:r w:rsidRPr="00704C01">
        <w:rPr>
          <w:rFonts w:eastAsia="宋体" w:hint="eastAsia"/>
          <w:sz w:val="28"/>
          <w:szCs w:val="24"/>
        </w:rPr>
        <w:t>刷新页面，将在付款信息中显示付款内容。</w:t>
      </w:r>
    </w:p>
    <w:p w:rsidR="00704C01" w:rsidRPr="00704C01" w:rsidRDefault="00704C01" w:rsidP="00704C01">
      <w:pPr>
        <w:ind w:firstLineChars="200" w:firstLine="560"/>
        <w:rPr>
          <w:rFonts w:eastAsia="宋体"/>
          <w:sz w:val="28"/>
          <w:szCs w:val="24"/>
        </w:rPr>
      </w:pPr>
      <w:r w:rsidRPr="00704C01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577B47C7" wp14:editId="2F7D77F5">
            <wp:extent cx="5274310" cy="2642649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F8" w:rsidRDefault="00CF79F8" w:rsidP="00CF79F8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sz w:val="28"/>
          <w:szCs w:val="24"/>
        </w:rPr>
        <w:t>点击</w:t>
      </w:r>
      <w:r w:rsidRPr="00B95EB5">
        <w:rPr>
          <w:rFonts w:eastAsia="宋体"/>
          <w:sz w:val="28"/>
          <w:szCs w:val="24"/>
        </w:rPr>
        <w:t>“</w:t>
      </w:r>
      <w:r w:rsidRPr="00B95EB5">
        <w:rPr>
          <w:rFonts w:eastAsia="宋体"/>
          <w:sz w:val="28"/>
          <w:szCs w:val="24"/>
        </w:rPr>
        <w:t>发票申请</w:t>
      </w:r>
      <w:r w:rsidRPr="00B95EB5">
        <w:rPr>
          <w:rFonts w:eastAsia="宋体"/>
          <w:sz w:val="28"/>
          <w:szCs w:val="24"/>
        </w:rPr>
        <w:t>”</w:t>
      </w:r>
      <w:r w:rsidRPr="00B95EB5">
        <w:rPr>
          <w:rFonts w:eastAsia="宋体"/>
          <w:sz w:val="28"/>
          <w:szCs w:val="24"/>
        </w:rPr>
        <w:t>按钮，将出现发票二维码，</w:t>
      </w:r>
      <w:proofErr w:type="gramStart"/>
      <w:r w:rsidRPr="00B95EB5">
        <w:rPr>
          <w:rFonts w:eastAsia="宋体"/>
          <w:sz w:val="28"/>
          <w:szCs w:val="24"/>
        </w:rPr>
        <w:t>扫码后</w:t>
      </w:r>
      <w:proofErr w:type="gramEnd"/>
      <w:r w:rsidRPr="00B95EB5">
        <w:rPr>
          <w:rFonts w:eastAsia="宋体"/>
          <w:sz w:val="28"/>
          <w:szCs w:val="24"/>
        </w:rPr>
        <w:t>填写相应内容进行提交。（请务必进行发票申请，</w:t>
      </w:r>
      <w:proofErr w:type="gramStart"/>
      <w:r w:rsidRPr="00B95EB5">
        <w:rPr>
          <w:rFonts w:eastAsia="宋体"/>
          <w:sz w:val="28"/>
          <w:szCs w:val="24"/>
        </w:rPr>
        <w:t>扫码填写</w:t>
      </w:r>
      <w:proofErr w:type="gramEnd"/>
      <w:r w:rsidRPr="00B95EB5">
        <w:rPr>
          <w:rFonts w:eastAsia="宋体"/>
          <w:sz w:val="28"/>
          <w:szCs w:val="24"/>
        </w:rPr>
        <w:t>发票内容）</w:t>
      </w:r>
    </w:p>
    <w:p w:rsidR="000E1279" w:rsidRPr="00CF79F8" w:rsidRDefault="000E1279" w:rsidP="000E1279">
      <w:pPr>
        <w:ind w:firstLineChars="200" w:firstLine="560"/>
        <w:rPr>
          <w:rFonts w:eastAsia="宋体"/>
          <w:sz w:val="28"/>
          <w:szCs w:val="24"/>
        </w:rPr>
      </w:pPr>
    </w:p>
    <w:p w:rsidR="000E3521" w:rsidRPr="000E3521" w:rsidRDefault="000E3521" w:rsidP="000E3521">
      <w:pPr>
        <w:rPr>
          <w:rFonts w:eastAsia="宋体"/>
          <w:sz w:val="28"/>
          <w:szCs w:val="24"/>
        </w:rPr>
      </w:pPr>
    </w:p>
    <w:p w:rsidR="00FD1367" w:rsidRPr="000E3521" w:rsidRDefault="00FD1367">
      <w:pPr>
        <w:rPr>
          <w:rFonts w:eastAsia="宋体"/>
          <w:sz w:val="28"/>
          <w:szCs w:val="24"/>
        </w:rPr>
      </w:pPr>
    </w:p>
    <w:sectPr w:rsidR="00FD1367" w:rsidRPr="000E3521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08" w:rsidRDefault="00545E08">
      <w:r>
        <w:separator/>
      </w:r>
    </w:p>
  </w:endnote>
  <w:endnote w:type="continuationSeparator" w:id="0">
    <w:p w:rsidR="00545E08" w:rsidRDefault="005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4788"/>
      <w:docPartObj>
        <w:docPartGallery w:val="Page Numbers (Bottom of Page)"/>
        <w:docPartUnique/>
      </w:docPartObj>
    </w:sdtPr>
    <w:sdtEndPr/>
    <w:sdtContent>
      <w:p w:rsidR="000E4C7A" w:rsidRDefault="000E4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A0D" w:rsidRPr="00527A0D">
          <w:rPr>
            <w:noProof/>
            <w:lang w:val="zh-CN"/>
          </w:rPr>
          <w:t>1</w:t>
        </w:r>
        <w:r>
          <w:fldChar w:fldCharType="end"/>
        </w:r>
      </w:p>
    </w:sdtContent>
  </w:sdt>
  <w:p w:rsidR="000E4C7A" w:rsidRDefault="000E4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08" w:rsidRDefault="00545E08">
      <w:r>
        <w:separator/>
      </w:r>
    </w:p>
  </w:footnote>
  <w:footnote w:type="continuationSeparator" w:id="0">
    <w:p w:rsidR="00545E08" w:rsidRDefault="0054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7" w:rsidRPr="00E82969" w:rsidRDefault="00E82969">
    <w:pPr>
      <w:pStyle w:val="a5"/>
      <w:pBdr>
        <w:bottom w:val="none" w:sz="0" w:space="1" w:color="auto"/>
      </w:pBdr>
    </w:pPr>
    <w:r w:rsidRPr="00E82969">
      <w:rPr>
        <w:rFonts w:asciiTheme="majorEastAsia" w:eastAsiaTheme="majorEastAsia" w:hAnsiTheme="majorEastAsia" w:cstheme="majorEastAsia" w:hint="eastAsia"/>
        <w:bCs/>
      </w:rPr>
      <w:t>兵团公共资源交易平台场地及设施服务费操作手册（投标单位）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C"/>
    <w:rsid w:val="000349DD"/>
    <w:rsid w:val="000654F9"/>
    <w:rsid w:val="00074ED1"/>
    <w:rsid w:val="00076B48"/>
    <w:rsid w:val="000913D0"/>
    <w:rsid w:val="000B70A3"/>
    <w:rsid w:val="000E1279"/>
    <w:rsid w:val="000E3521"/>
    <w:rsid w:val="000E4C7A"/>
    <w:rsid w:val="001E079D"/>
    <w:rsid w:val="002035BF"/>
    <w:rsid w:val="00211176"/>
    <w:rsid w:val="00247257"/>
    <w:rsid w:val="002830C8"/>
    <w:rsid w:val="002B134E"/>
    <w:rsid w:val="002B57A6"/>
    <w:rsid w:val="002B5D5B"/>
    <w:rsid w:val="002D5B8B"/>
    <w:rsid w:val="00312487"/>
    <w:rsid w:val="00363A93"/>
    <w:rsid w:val="003837B2"/>
    <w:rsid w:val="00385C75"/>
    <w:rsid w:val="003A1305"/>
    <w:rsid w:val="003B484A"/>
    <w:rsid w:val="003E20E0"/>
    <w:rsid w:val="00423BAC"/>
    <w:rsid w:val="00466773"/>
    <w:rsid w:val="00467184"/>
    <w:rsid w:val="00481805"/>
    <w:rsid w:val="004B0875"/>
    <w:rsid w:val="00515AA0"/>
    <w:rsid w:val="00527A0D"/>
    <w:rsid w:val="005309C3"/>
    <w:rsid w:val="00545E08"/>
    <w:rsid w:val="005811A3"/>
    <w:rsid w:val="005916FF"/>
    <w:rsid w:val="005B5082"/>
    <w:rsid w:val="005D6EB8"/>
    <w:rsid w:val="005F43D8"/>
    <w:rsid w:val="006342A4"/>
    <w:rsid w:val="006407A8"/>
    <w:rsid w:val="0065684E"/>
    <w:rsid w:val="00693AF8"/>
    <w:rsid w:val="00694D83"/>
    <w:rsid w:val="006A6345"/>
    <w:rsid w:val="006E458F"/>
    <w:rsid w:val="00704C01"/>
    <w:rsid w:val="007308D2"/>
    <w:rsid w:val="00732A5B"/>
    <w:rsid w:val="00735652"/>
    <w:rsid w:val="007B732F"/>
    <w:rsid w:val="007C25C7"/>
    <w:rsid w:val="007C4B22"/>
    <w:rsid w:val="00825746"/>
    <w:rsid w:val="00852017"/>
    <w:rsid w:val="008A1F11"/>
    <w:rsid w:val="008A7780"/>
    <w:rsid w:val="009060B6"/>
    <w:rsid w:val="009579E0"/>
    <w:rsid w:val="00A45576"/>
    <w:rsid w:val="00A97231"/>
    <w:rsid w:val="00AC19DD"/>
    <w:rsid w:val="00AC54DA"/>
    <w:rsid w:val="00AE60C8"/>
    <w:rsid w:val="00B632DA"/>
    <w:rsid w:val="00B742BA"/>
    <w:rsid w:val="00B87786"/>
    <w:rsid w:val="00B95EB5"/>
    <w:rsid w:val="00BA4FAA"/>
    <w:rsid w:val="00BF3693"/>
    <w:rsid w:val="00BF6297"/>
    <w:rsid w:val="00C43CA9"/>
    <w:rsid w:val="00C84C4E"/>
    <w:rsid w:val="00CA2E9C"/>
    <w:rsid w:val="00CF79F8"/>
    <w:rsid w:val="00D11E48"/>
    <w:rsid w:val="00D45F70"/>
    <w:rsid w:val="00D60CEC"/>
    <w:rsid w:val="00DA5EC9"/>
    <w:rsid w:val="00DA6AB2"/>
    <w:rsid w:val="00DB1B38"/>
    <w:rsid w:val="00DD38D9"/>
    <w:rsid w:val="00E065A3"/>
    <w:rsid w:val="00E1330C"/>
    <w:rsid w:val="00E4539D"/>
    <w:rsid w:val="00E76BA1"/>
    <w:rsid w:val="00E82969"/>
    <w:rsid w:val="00EC5BD2"/>
    <w:rsid w:val="00ED3A00"/>
    <w:rsid w:val="00ED4428"/>
    <w:rsid w:val="00EE34A9"/>
    <w:rsid w:val="00EF44E8"/>
    <w:rsid w:val="00EF59B1"/>
    <w:rsid w:val="00F07336"/>
    <w:rsid w:val="00F11701"/>
    <w:rsid w:val="00F121B8"/>
    <w:rsid w:val="00F642A1"/>
    <w:rsid w:val="00F91AA0"/>
    <w:rsid w:val="00FA6A12"/>
    <w:rsid w:val="00FD1367"/>
    <w:rsid w:val="01A1551A"/>
    <w:rsid w:val="0AE03D7E"/>
    <w:rsid w:val="11FA1EB4"/>
    <w:rsid w:val="27F97A26"/>
    <w:rsid w:val="40185F8D"/>
    <w:rsid w:val="5F136BD8"/>
    <w:rsid w:val="6E1868FF"/>
    <w:rsid w:val="70793E81"/>
    <w:rsid w:val="76C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468</cp:revision>
  <dcterms:created xsi:type="dcterms:W3CDTF">2022-03-28T10:11:00Z</dcterms:created>
  <dcterms:modified xsi:type="dcterms:W3CDTF">2023-01-03T09:59:00Z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E136B7B02ADF450F8DEC1274B021B1E9</vt:lpwstr>
  </property>
</Properties>
</file>